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36"/>
          <w:szCs w:val="36"/>
        </w:rPr>
      </w:pPr>
      <w:r>
        <w:rPr>
          <w:rFonts w:hint="eastAsia" w:ascii="微软雅黑" w:hAnsi="微软雅黑" w:eastAsia="微软雅黑" w:cs="微软雅黑"/>
          <w:b w:val="0"/>
          <w:i w:val="0"/>
          <w:caps w:val="0"/>
          <w:color w:val="333333"/>
          <w:spacing w:val="0"/>
          <w:sz w:val="36"/>
          <w:szCs w:val="36"/>
          <w:bdr w:val="none" w:color="auto" w:sz="0" w:space="0"/>
          <w:shd w:val="clear" w:fill="FFFFFF"/>
        </w:rPr>
        <w:t>中共中央办公厅 国务院办公厅印发《关于实行以增加知识价值为导向分配政策的若干意见》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898989"/>
          <w:spacing w:val="0"/>
          <w:sz w:val="21"/>
          <w:szCs w:val="21"/>
        </w:rPr>
      </w:pPr>
      <w:bookmarkStart w:id="0" w:name="_GoBack"/>
      <w:bookmarkEnd w:id="0"/>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"http://share.gwd.gov.cn/" \t "http://www.gov.cn/zhengce/2016-11/07/_blank"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898989"/>
          <w:spacing w:val="0"/>
          <w:sz w:val="21"/>
          <w:szCs w:val="21"/>
        </w:rPr>
      </w:pP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"http://www.gov.cn/zhengce/2016-11/07/content_5129805.htm" \o "微信"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Style w:val="6"/>
          <w:rFonts w:hint="eastAsia" w:ascii="宋体" w:hAnsi="宋体" w:eastAsia="宋体" w:cs="宋体"/>
          <w:b w:val="0"/>
          <w:i w:val="0"/>
          <w:caps w:val="0"/>
          <w:color w:val="000000"/>
          <w:spacing w:val="0"/>
          <w:sz w:val="21"/>
          <w:szCs w:val="21"/>
          <w:u w:val="none"/>
          <w:bdr w:val="none" w:color="auto" w:sz="0" w:space="0"/>
          <w:shd w:val="clear" w:fill="FFFFFF"/>
        </w:rPr>
        <w:t> </w: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"http://www.gov.cn/zhengce/2016-11/07/content_5129805.htm" \o "新浪微博"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Style w:val="6"/>
          <w:rFonts w:hint="eastAsia" w:ascii="宋体" w:hAnsi="宋体" w:eastAsia="宋体" w:cs="宋体"/>
          <w:b w:val="0"/>
          <w:i w:val="0"/>
          <w:caps w:val="0"/>
          <w:color w:val="000000"/>
          <w:spacing w:val="0"/>
          <w:sz w:val="21"/>
          <w:szCs w:val="21"/>
          <w:u w:val="none"/>
          <w:bdr w:val="none" w:color="auto" w:sz="0" w:space="0"/>
          <w:shd w:val="clear" w:fill="FFFFFF"/>
        </w:rPr>
        <w:t> </w: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val="0"/>
          <w:i w:val="0"/>
          <w:caps w:val="0"/>
          <w:color w:val="898989"/>
          <w:spacing w:val="0"/>
          <w:kern w:val="0"/>
          <w:sz w:val="21"/>
          <w:szCs w:val="21"/>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新华社北京11月7日电 近日，中共中央办公厅、国务院办公厅印发了《关于实行以增加知识价值为导向分配政策的若干意见》，并发出通知，要求各地区各部门结合实际认真贯彻落实。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《关于实行以增加知识价值为导向分配政策的若干意见》全文如下。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为加快实施创新驱动发展战略，激发科研人员创新创业积极性，在全社会营造尊重劳动、尊重知识、尊重人才、尊重创造的氛围，现就实行以增加知识价值为导向的分配政策提出以下意见。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（一）基本思路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全面贯彻党的十八大和十八届三中、四中、五中全会以及全国科技创新大会精神，深入学习贯彻习近平总书记系列重要讲话精神，加快实施创新驱动发展战略，实行以增加知识价值为导向的分配政策，充分发挥收入分配政策的激励导向作用，激发广大科研人员的积极性、主动性和创造性，鼓励多出成果、快出成果、出好成果，推动科技成果加快向现实生产力转化。统筹自然科学、哲学社会科学等不同科学门类，统筹基础研究、应用研究、技术开发、成果转化全创新链条，加强系统设计、分类管理。充分发挥市场机制作用，通过稳定提高基本工资、加大绩效工资分配激励力度、落实科技成果转化奖励等激励措施，使科研人员收入与岗位职责、工作业绩、实际贡献紧密联系，在全社会形成知识创造价值、价值创造者得到合理回报的良性循环，构建体现增加知识价值的收入分配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（二）主要原则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价值导向。针对我国科研人员实际贡献与收入分配不完全匹配、股权激励等对创新具有长期激励作用的政策缺位、内部分配激励机制不健全等问题，明确分配导向，完善分配机制，使科研人员收入与其创造的科学价值、经济价值、社会价值紧密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——实行分类施策。根据不同创新主体、不同创新领域和不同创新环节的智力劳动特点，实行有针对性的分配政策，统筹宏观调控和定向施策，探索知识价值实现的有效方式。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——激励约束并重。把人作为政策激励的出发点和落脚点，强化产权等长期激励，健全中长期考核评价机制，突出业绩贡献。合理调控不同地区、同一地区不同类型单位收入水平差距。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——精神物质激励结合。采用多种激励方式，在加大物质收入激励的同时，注重发挥精神激励的作用，大力表彰创新业绩突出的科研人员，营造鼓励探索、激励创新的社会氛围。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二、推动形成体现增加知识价值的收入分配机制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逐步提高科研人员收入水平。在保障基本工资水平正常增长的基础上，逐步提高体现科研人员履行岗位职责、承担政府和社会委托任务等的基础性绩效工资水平，并建立绩效工资稳定增长机制。加大对作出突出贡献科研人员和创新团队的奖励力度，提高科研人员科技成果转化收益分享比例。强化绩效评价与考核，使收入分配与考核评价结果挂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发挥财政科研项目资金的激励引导作用。对不同功能和资金来源的科研项目实行分类管理，在绩效评价基础上，加大对科研人员的绩效激励力度。完善科研项目资金和成果管理制度，对目标明确的应用型科研项目逐步实行合同制管理。对社会科学研究机构和智库，推行政府购买服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三）鼓励科研人员通过科技成果转化获得合理收入。积极探索通过市场配置资源加快科技成果转化、实现知识价值的有效方式。财政资助科研项目所产生的科技成果在实施转化时，应明确项目承担单位和完成人之间的收益分配比例。对于接受企业、其他社会组织委托的横向委托项目，允许项目承担单位和科研人员通过合同约定知识产权使用权和转化收益，探索赋予科研人员科技成果所有权或长期使用权。逐步提高稿费和版税等付酬标准，增加科研人员的成果性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三、扩大科研机构、高校收入分配自主权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引导科研机构、高校实行体现自身特点的分配办法。赋予科研机构、高校更大的收入分配自主权，科研机构、高校要履行法人责任，按照职能定位和发展方向，制定以实际贡献为评价标准的科技创新人才收入分配激励办法，突出业绩导向，建立与岗位职责目标相统一的收入分配激励机制，合理调节教学人员、科研人员、实验设计与开发人员、辅助人员和专门从事科技成果转化人员等的收入分配关系。对从事基础性研究、农业和社会公益研究等研发周期较长的人员，收入分配实行分类调节，通过优化工资结构，稳步提高基本工资收入，加大对重大科技创新成果的绩效奖励力度，建立健全后续科技成果转化收益反馈机制，使科研人员能够潜心研究。对从事应用研究和技术开发的人员，主要通过市场机制和科技成果转化业绩实现激励和奖励。对从事哲学社会科学研究的人员，以理论创新、决策咨询支撑和社会影响作为评价基本依据，形成合理的智力劳动补偿激励机制。完善相关管理制度，加大对科研辅助人员的激励力度。科学设置考核周期，合理确定评价时限，避免短期频繁考核，形成长期激励导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完善适应高校教学岗位特点的内部激励机制。把教学业绩和成果作为教师职称晋升、收入分配的重要依据。对专职从事教学的人员，适当提高基础性绩效工资在绩效工资中的比重，加大对教学型名师的岗位激励力度。对高校教师开展的教学理论研究、教学方法探索、优质教学资源开发、教学手段创新等，在绩效工资分配中给予倾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三）落实科研机构、高校在岗位设置、人员聘用、绩效工资分配、项目经费管理等方面自主权。对科研人员实行岗位管理，用人单位根据国家有关规定，结合实际需要，合理确定岗位等级的结构比例，建立各级专业技术岗位动态调整机制。健全绩效工资管理，科研机构、高校自主决定绩效考核和绩效分配办法。赋予财政科研项目承担单位对间接经费的统筹使用权。合理调节单位内部各类岗位收入差距，除科技成果转化收入外，单位内部收入差距要保持在合理范围。积极解决部分岗位青年科研人员和教师收入待遇低等问题，加强学术梯队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四）重视科研机构、高校中长期目标考核。结合科研机构、高校分类改革和职责定位，加强对科研机构、高校中长期目标考核，建立与考核评价结果挂钩的经费拨款制度和员工收入调整机制，对评价优秀的加大绩效激励力度。对有条件的科研机构，探索实行合同管理制度，按合同约定的目标完成情况确定拨款、绩效工资水平和分配办法。完善科研机构、高校财政拨款支出、科研项目收入与支出、科研成果转化及收入情况等内部公开公示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四、进一步发挥科研项目资金的激励引导作用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发挥财政科研项目资金在知识价值分配中的激励作用。根据科研项目特点完善财政资金管理，加大对科研人员的激励力度。对实验设备依赖程度低和实验材料耗费少的基础研究、软件开发和软科学研究等智力密集型项目，项目承担单位应在国家政策框架内，建立健全符合自身特点的劳务费、间接经费管理方式。项目承担单位可结合科研人员工作实绩，合理安排间接经费中绩效支出。建立符合科技创新规律的财政科技经费监管制度，探索在有条件的科研项目中实行经费支出负面清单管理。个人收入不与承担项目多少、获得经费高低直接挂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完善科研机构、高校横向委托项目经费管理制度。对于接受企业、其他社会组织委托的横向委托项目，人员经费使用按照合同约定进行管理。技术开发、技术咨询、技术服务等活动的奖酬金提取，按照《中华人民共和国促进科技成果转化法》及《实施〈中华人民共和国促进科技成果转化法〉若干规定》执行；项目合同没有约定人员经费的，由单位自主决定。科研机构、高校应优先保证科研人员履行科研、教学等公益职能；科研人员承担横向委托项目，不得影响其履行岗位职责、完成本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三）完善哲学社会科学研究领域项目经费管理制度。对符合条件的智库项目，探索采用政府购买服务制度，项目资金由项目承担单位按照服务合同约定管理使用。修订国家社会科学基金、教育部高校哲学社会科学繁荣计划的项目资金管理办法，取消劳务费比例限制，明确劳务费开支范围，加大对项目承担单位间接成本补偿和科研人员绩效激励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五、加强科技成果产权对科研人员的长期激励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强化科研机构、高校履行科技成果转化长期激励的法人责任。坚持长期产权激励与现金奖励并举，探索对科研人员实施股权、期权和分红激励，加大在专利权、著作权、植物新品种权、集成电路布图设计专有权等知识产权及科技成果转化形成的股权、岗位分红权等方面的激励力度。科研机构、高校应建立健全科技成果转化内部管理与奖励制度，自主决定科技成果转化收益分配和奖励方案，单位负责人和相关责任人按照《中华人民共和国促进科技成果转化法》及《实施〈中华人民共和国促进科技成果转化法〉若干规定》予以免责，构建对科技人员的股权激励等中长期激励机制。以科技成果作价入股作为对科技人员的奖励涉及股权注册登记及变更的，无需报科研机构、高校的主管部门审批。加快出台科研机构、高校以科技成果作价入股方式投资未上市中小企业形成的国有股，在企业上市时豁免向全国社会保障基金转持的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完善科研机构、高校领导人员科技成果转化股权奖励管理制度。科研机构、高校的正职领导和领导班子成员中属中央管理的干部，所属单位中担任法人代表的正职领导，在担任现职前因科技成果转化获得的股权，任职后应及时予以转让，逾期未转让的，任期内限制交易。限制股权交易的，在本人不担任上述职务一年后解除限制。相关部门、单位要加快制定具体落实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三）完善国有企业对科研人员的中长期激励机制。尊重企业作为市场经济主体在收入分配上的自主权，完善国有企业科研人员收入与科技成果、创新绩效挂钩的奖励制度。国有企业科研人员按照合同约定薪酬，探索对聘用的国际高端科技人才、高端技能人才实行协议工资、项目工资等市场化薪酬制度。符合条件的国有科技型企业，可采取股权出售、股权奖励、股权期权等股权方式，或项目收益分红、岗位分红等分红方式进行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（四）完善股权激励等相关税收政策。对符合条件的股票期权、股权期权、限制性股票、股权奖励以及科技成果投资入股等实施递延纳税优惠政策，鼓励科研人员创新创业，进一步促进科技成果转化。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六、允许科研人员和教师依法依规适度兼职兼薪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允许科研人员从事兼职工作获得合法收入。科研人员在履行好岗位职责、完成本职工作的前提下，经所在单位同意，可以到企业和其他科研机构、高校、社会组织等兼职并取得合法报酬。鼓励科研人员公益性兼职，积极参与决策咨询、扶贫济困、科学普及、法律援助和学术组织等活动。科研机构、高校应当规定或与科研人员约定兼职的权利和义务，实行科研人员兼职公示制度，兼职行为不得泄露本单位技术秘密，损害或侵占本单位合法权益，违反承担的社会责任。兼职取得的报酬原则上归个人，建立兼职获得股权及红利等收入的报告制度。担任领导职务的科研人员兼职及取酬，按中央有关规定执行。经所在单位批准，科研人员可以离岗从事科技成果转化等创新创业活动。兼职或离岗创业收入不受本单位绩效工资总量限制，个人须如实将兼职收入报单位备案，按有关规定缴纳个人所得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允许高校教师从事多点教学获得合法收入。高校教师经所在单位批准，可开展多点教学并获得报酬。鼓励利用网络平台等多种媒介，推动精品教材和课程等优质教学资源的社会共享，授课教师按照市场机制取得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七、加强组织实施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强化联动。各地区各部门要加强组织领导，健全工作机制，强化部门协同和上下联动，制定实施细则和配套政策措施，加强督促检查，确保各项任务落到实处。加强政策解读和宣传，加强干部学习培训，激发广大科研人员的创新创业热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（二）先行先试。选择一些地方和单位结合实际情况先期开展试点，鼓励大胆探索、率先突破，及时推广成功经验。对基层因地制宜的改革探索建立容错机制。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（三）加强考核。各地区各部门要抓紧制定以增加知识价值为导向的激励、考核和评价管理办法，建立第三方评估评价机制，规范相关激励措施，在全社会形成既充满活力又规范有序的正向激励。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本意见适用于国家设立的科研机构、高校和国有独资企业（公司）。其他单位对知识型、技术型、创新型劳动者可参照本意见精神，结合各自实际，制定具体收入分配办法。国防和军队系统的科研机构、高校、企业收入分配政策另行制定。</w:t>
      </w:r>
    </w:p>
    <w:p/>
    <w:p>
      <w:r>
        <w:rPr>
          <w:rFonts w:hint="eastAsia"/>
          <w:lang w:val="en-US" w:eastAsia="zh-CN"/>
        </w:rPr>
        <w:t>------</w:t>
      </w:r>
      <w:r>
        <w:rPr>
          <w:rFonts w:hint="eastAsia"/>
        </w:rPr>
        <w:t>http://www.gov.cn/zhengce/2016-11/07/content_5129805.htm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modern"/>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华康俪金黑W8(P)">
    <w:panose1 w:val="020B0800000000000000"/>
    <w:charset w:val="86"/>
    <w:family w:val="auto"/>
    <w:pitch w:val="default"/>
    <w:sig w:usb0="00000001" w:usb1="08010000" w:usb2="00000012"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 w:name="helvetica">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monospace">
    <w:altName w:val="Courier New"/>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大黑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sans-serif">
    <w:altName w:val="Courier New"/>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宋">
    <w:altName w:val="宋体"/>
    <w:panose1 w:val="00000000000000000000"/>
    <w:charset w:val="00"/>
    <w:family w:val="auto"/>
    <w:pitch w:val="default"/>
    <w:sig w:usb0="00000000" w:usb1="00000000" w:usb2="00000000" w:usb3="00000000" w:csb0="00000000" w:csb1="00000000"/>
  </w:font>
  <w:font w:name="回去">
    <w:altName w:val="Courier New"/>
    <w:panose1 w:val="00000000000000000000"/>
    <w:charset w:val="00"/>
    <w:family w:val="auto"/>
    <w:pitch w:val="default"/>
    <w:sig w:usb0="00000000" w:usb1="00000000" w:usb2="00000000" w:usb3="00000000" w:csb0="00000000" w:csb1="00000000"/>
  </w:font>
  <w:font w:name="回">
    <w:altName w:val="Courier New"/>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7910B0"/>
    <w:rsid w:val="51026F1F"/>
    <w:rsid w:val="610571C4"/>
    <w:rsid w:val="7DDC2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10" w:beforeLines="0" w:beforeAutospacing="0" w:after="10" w:afterLines="0" w:afterAutospacing="0" w:line="400" w:lineRule="exact"/>
      <w:outlineLvl w:val="3"/>
    </w:pPr>
    <w:rPr>
      <w:rFonts w:ascii="Arial" w:hAnsi="Arial" w:eastAsia="黑体"/>
      <w:b/>
      <w:sz w:val="24"/>
      <w:szCs w:val="22"/>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2017-09-25T05:56:32Z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