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57"/>
          <w:szCs w:val="57"/>
        </w:rPr>
      </w:pPr>
      <w:r>
        <w:rPr>
          <w:rFonts w:hint="eastAsia" w:ascii="微软雅黑" w:hAnsi="微软雅黑" w:eastAsia="微软雅黑" w:cs="微软雅黑"/>
          <w:b w:val="0"/>
          <w:i w:val="0"/>
          <w:caps w:val="0"/>
          <w:color w:val="333333"/>
          <w:spacing w:val="0"/>
          <w:sz w:val="36"/>
          <w:szCs w:val="36"/>
          <w:bdr w:val="none" w:color="auto" w:sz="0" w:space="0"/>
          <w:shd w:val="clear" w:fill="FFFFFF"/>
        </w:rPr>
        <w:t>财政部就《关于进一步完善中央财政科研项目资金管理等政策的若干意见》答问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shd w:val="clear" w:fill="FFFFFF"/>
          <w:lang w:val="en-US" w:eastAsia="zh-CN" w:bidi="ar"/>
        </w:rPr>
        <w:t>中央政府门户网站　www.gov.cn 2016-08-10 17:11 来源： 财政部网站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宋体" w:hAnsi="宋体" w:eastAsia="宋体" w:cs="宋体"/>
          <w:b w:val="0"/>
          <w:i w:val="0"/>
          <w:caps w:val="0"/>
          <w:color w:val="898989"/>
          <w:spacing w:val="0"/>
          <w:sz w:val="21"/>
          <w:szCs w:val="21"/>
        </w:rPr>
      </w:pPr>
      <w:bookmarkStart w:id="0" w:name="_GoBack"/>
      <w:bookmarkEnd w:id="0"/>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"http://share.gwd.gov.cn/" \t "http://www.gov.cn/xinwen/2016-08/10/_blank"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898989"/>
          <w:spacing w:val="0"/>
          <w:sz w:val="21"/>
          <w:szCs w:val="21"/>
        </w:rPr>
      </w:pP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"http://www.gov.cn/xinwen/2016-08/10/content_5098681.htm" \o "微信"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"http://www.gov.cn/xinwen/2016-08/10/content_5098681.htm" \o "新浪微博"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5"/>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89898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一、《意见》出台的背景是什么？重要意义是什么？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创新是引领发展的第一动力，科技创新在全面创新中具有引领作用。党中央、国务院高度重视科技创新。党的十八大作出了实施创新驱动发展战略的决策部署。党的十八届五中全会强调创新是引领发展的第一动力，必须摆在国家发展全局的核心位置。今年5月，党中央、国务院召开了全国科技创新大会，吹响了建设世界科技强国的号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财政作为国家治理的基础和重要支柱，近年来，按照中央部署要求，积极发挥职能作用，大力支持以科技创新为核心的全面创新。一方面，加大财政科技投入，为科技创新提供有力保障。另一方面，始终坚持问题导向，致力于建立健全既遵循科研活动规律，又符合依法理财要求的科技资金管理机制。比如，在深化科研项目资金管理改革方面，会同科技部研究制定了《关于调整国家科技计划和公益性行业科研专项经费管理办法若干规定的通知》（财教〔2011〕434号），报请国务院印发了《关于改进加强中央财政科研项目和资金管理的若干意见》（国发〔2014〕11号），提出了一系列管理改革措施，努力以管理改革释放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尽管如此，仍有一些高校、院所和科研人员改革获得感不够强，反映科研项目资金存在“过细过死”、“重物轻人”等问题。这些问题，有些属于政策措施已经明确，需要落实细化和加强宣传解释的问题；有些属于在项目和资金管理上需要进一步研究改进和完善的问题；有些还涉及事业单位管理体制、收入分配制度等深层次体制机制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为贯彻落实中央关于深化改革创新、形成充满活力的科技管理和运行机制的要求，按照《中共中央 国务院关于深化体制机制改革加快实施创新驱动发展战略的若干意见》和国发〔2014〕11号文件有关要求，经党中央、国务院同意，中办、国办联合印发了《意见》。《意见》旨在通过进一步简政放权、放管结合、优化服务、强化落实，改革和创新科研经费使用和管理方式，促进形成充满活力的科技管理和运行机制，更好地激发广大科研人员积极性和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意见》的出台是落实全国科技创新大会精神的重要举措，具有重要意义。在国家层面，《意见》通过深化改革，激发创新创造活力，为加快实施创新驱动发展战略、建设世界科技强国提供有力保障。在科技层面，《意见》加大了简政放权和激励力度，为科研人员潜心研究创造了良好的制度环境，有利于多出成果、多出人才。在财政层面，《意见》坚持“放管服”结合，通过改革和创新科研经费使用和管理方式，更好地适应科研活动规律和特点，有利于进一步提升财政科技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二、这次进一步完善中央财政科研项目资金管理等政策，坚持什么原则？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意见》聚焦高校、科研院所和科研人员关心的突出问题，遵循“四个坚持”的原则，着力激发创新创造活力。一是坚持以人为本。以调动科研人员积极性和创造性为出发点和落脚点,强化激励机制,加大激励力度，激发创新创造活力。二是坚持遵循规律。按照科研活动规律和财政预算管理要求，完善管理政策，优化管理流程，改进管理方式,适应科研活动实际需要。三是坚持“放管服”结合。进一步简政放权,扩大高校、科研院所科研项目资金、差旅会议、基本建设、科研仪器设备采购等方面的管理权限，同时强调放管结合、优化服务，加强事中事后监管，寓管理于服务之中,为科研人员潜心研究营造良好环境。四是坚持政策落实落地。细化实化政策规定，加强政策落实督查，打通政策执行中的“堵点”，增强科研人员改革的成就感和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三、《意见》在扩大高校和科研院所管理权限方面有哪些“亮点”？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意见》主要有四大亮点：一是扩大科研项目资金管理权限。主要包括：项目预算调剂自主权，劳务费分配管理自主权，间接费使用管理自主权，结转结余资金按规定使用自主权等。二是下放差旅会议管理权限，不简单套用行政预算和财务管理方法。三是完善中央高校、科研院所科研仪器设备采购管理。四是完善中央高校、科研院所基本建设项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四、《意见》在改进科研项目资金管理、激发科研人员创新创造活力方面提出了哪些措施？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科研项目资金分为直接费用和间接费用，直接费用一般包括设备费、差旅费、会议费、国际合作与交流费、劳务费等10类左右的支出科目;间接费用主要用于项目承担单位的成本耗费和对科研人员的绩效激励。这次《意见》提出的各项措施，从经费比重、开支范围、科目设置等方面提出了一系列“松绑+激励”的措施，有利于激发科研人员创新创造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是简化预算编制科目，下放调剂权限。合并“同类项”，将直接费用中会议费、差旅费、国际合作与交流费合并为一个科目，合并后的总费用如果不超过直接费用的10%，就不用提供预算测算依据，科研人员在编制这部分预算时不用再具体说明开几次会、出几次差了。下放科研项目预算调剂权，在项目总预算不变的情况下，直接费用中的多数科目预算都可以由项目承担单位自主调剂,“打酱油的钱可以买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是提高间接费用比重，加大绩效激励力度。间接费用占直接费用扣除设备购置费的比例上限，从20%/13%/10%提高到20%/15%/13%（上述比例分别对应500万元以下、500-1000万元、1000万元以上部分）。项目承担单位可以在核定的间接费用比例范围内统筹安排绩效支出，并与科研人员在项目工作中的实际贡献挂钩，以加大对科研人员激励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是明确劳务费开支范围和标准。重申劳务费不设比例限制。参与项目研究的研究生、博士后、访问学者以及项目聘用的研究人员、科研辅助人员等，都可以开支劳务费。项目聘用人员的劳务费开支标准，参照当地科学研究和技术服务业从业人员平均工资水平，根据其在项目研究中承担的工作任务确定，既有效解决科研人员反映的评审中预设比例的问题，又突出科研项目资金对“人”的重视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四是改进结转结余资金留用处理方式。科研项目实施期间，年度剩余资金可以结转下年继续使用，当年的钱花不完不用收回。项目完成任务目标并通过验收后，结余资金按规定留归单位使用，在2年内可以统筹安排用于科研活动的直接支出；2年后未使用完的，按规定收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五是自主规范管理横向经费。以市场委托方式取得的横向经费，由单位按照委托方要求或合同约定管理使用，有效解决一些科研人员反映的横向经费“纵向化”管理问题。同时，为了防止设“账外账”，强调横向经费要纳入单位财务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五、我国科研项目间接费用与美国等国家相比比例偏低，是何原因？《意见》对此提出了哪些改进措施?中央财政科研项目中的哪些项目可以设立间接费用？间接费用如何核定？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从美国国家自然科学基金项目等情况来看，美国高校科研项目间接费用比例确实比我国高，这主要在于我国和美国预算拨款制度不同。我国中央财政专门安排了中央高校、科研院所的基本运转经费，还设立了改善教学科研条件的专项资金等，很大程度上可以弥补单位开展科研活动的成本耗费。综上考虑，我国在核定科研项目间接费用的比例时，没有像美国等国家那样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进一步完善间接成本补偿机制，《意见》结合我国实际，提高了间接费用核定比例。《意见》规定，中央财政科技计划（专项、基金等）中实行公开竞争方式的研发类项目，均要设立间接费用。间接费用占直接费用扣除设备购置费的比例上限，从20%/13%/10%提高到20%/15%/13%（上述比例分别对应500万元以下、500-1000万元、1000万元以上部分）。需要说明的是，对于稳定支持的科研项目，相关费用已通过部门预算渠道安排，不存在对其进行额外补偿的问题，不需要列支间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六、一些科研人员反映，相对我国而言，美国等国家科研项目中“人员费”比例较高，《意见》在这方面提出了哪些改进措施？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中美两国科研人员经费保障体制不尽相同。美国研究型大学对于科研人员每年发放9-10个月的工资，其余2—3个月的工资通过科研项目经费列支，但科研人员从大学领取的工资加上从科研项目经费中领取的薪酬不能超过其12个月工资总和。我国高校、院所对在编在职科研人员每年发放12个月工资，在基本支出中列支，给予稳定保障，而不是只拨付9个月的工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美国科研项目资金预算中既包含研究生薪酬，又包含研究生学费减免等。对这部分支出，我国单独安排了研究生生均拨款、奖助学金、博士后日常经费、博士后科学基金等。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综上，我国科研项目经费中“人员费”所占比重不宜与美国进行直接比较。这次《意见》结合我国实际，进一步加大了科研项目资金对科研人员的激励力度。一是对于研究生、博士后、访问学者以及项目聘用的研究人员、科研辅助人员等，进一步明确劳务费开支范围和标准。二是对于在职在编的科研人员，取消绩效支出比例限制（原来为直接费用扣除设备购置费后的5%），项目承担单位可以在核定的间接费用比例范围内统筹安排，并与科研人员在项目工作中的实际贡献挂钩，科研项目资金的激励引导作用进一步增强。需要说明的是，从国外有关情况和我国薪酬制度看，要从根本上解决科研人员反映的收入待遇偏低问题，关键在于完善收入分配制度，加快推进中央级事业单位绩效工资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七、有的科研人员反映目前我国科研项目预算编制过细，《意见》在预算编制方面简化了哪些科目？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科研项目编制预算是国际通行做法。科研活动具有灵感瞬间性、方式随意性、路径不确定性等特点，但主要技术路线、大体的工作量应事先心中有数，否则就成了“无的放矢”。鉴于科研活动自身规律及其不确定性，目前我国科研项目预算编制遵循适中原则，不像工程预算那样的“事无巨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科研人员反映的预算编制过细问题，既有进一步完善预算编制方法的问题，也有执行不到位的问题。比如，如何帮助科研人员更好地编制预算；如何完善预算评审方式，防止评审环节随意设门槛，倒逼科研人员把预算往细里“编”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针对上述问题，《意见》在原有基础上，进一步简化预算编制。将直接费用中会议费、差旅费、国际合作与交流费合并为一个科目，由科研人员根据科研活动实际需要编制预算、统筹安排使用。同时，参考“十二五”国家科技计划上述三项费用开支情况，规定了该科目如不超过直接费用的10%，就无需提供预算测算依据，科研人员在编制这部分预算时不用再具体说明开几次会、出几次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八、劳务费预算如何编制？开支范围是什么？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目前，在制度层面，劳务费没有比例限制。但科研人员反映在项目实际申报过程中，劳务费仍存在“隐性”的比例限制。对此，我们已会同有关部门，加大宣传培训力度，并要求相关评审机构进一步规范评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针对这一问题，《意见》进一步提出了完善劳务费管理的措施。一是重申劳务费不设比例限制。二是在制度层面进一步细化规定。明确了劳务费开支范围，参与项目研究的研究生、博士后、访问学者以及项目聘用人员，均可开支劳务费；明确项目聘用人员的劳务费开支标准，参照当地科学研究和技术服务业人员平均工资水平以及在项目研究中承担的工作任务确定（比如，北京地区可达12万元/年），项目聘用人员的社会保险补助纳入劳务费科目列支。三是要求项目主管部门尽快出台实施细则，为预算编制、评审、财务验收等提供操作规范，让科研人员在编制预算时“心中有数”，也防止评审、验收环节设定劳务费比例，确保政策在执行中 “不走样”、“不变形”。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九、项目预算是否可以调剂？是否需要报批？按什么程序报批？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在项目总预算不变的情况下，直接费用中的材料费、测试化验加工费、燃料动力费、出版/文献/信息传播/知识产权事务费、其他支出的预算，可由项目承担单位自行调剂；会议费/差旅费/国际合作与交流费、劳务费、专家咨询费和设备费支出预算可以调减，不得调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项目预算总额变化、项目承担单位变更等应当按规定程序报项目主管部门（单位）审批。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十、科研人员反映科研课题项目资金拨付存在时间滞后问题，《意见》在这方面提出了哪些措施？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从申请项目到经费下达涉及多个环节。包括项目立项申请和评审、项目预算评审、批复项目及预算、部门申请和国库拨付经费等，项目前期立项评审等工作进度直接影响资金拨付时间。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针对项目立项滞后影响资金拨付时间这一问题，科技部等相关部门结合科研工作的特点，已调整了工作机制，提前一年组织项目申报和评审，年初即可确定项目预算，为预算按时拨付奠定基础。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自2009年起，经全国人大常委会同意，在人大正式批复预算前可以预拨一部分项目资金，并据此建立了科研项目经费年初预拨机制，规定第一季度可按“二上”预算数的1/4拨付资金。《意见》根据科研活动规律和特点，继续实行部门预算批复前项目资金预拨制度，保证科研人员及时使用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十一、科研项目结转结余如何使用？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意见》改进了结转结余资金留用处理方式。科研项目实施期间，年度剩余资金可以结转下年继续使用。项目完成任务目标并通过验收后，结余资金按规定留归项目承担单位使用，在2年内可统筹安排用于科研活动的直接支出；2年后未使用完的，按规定收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十二、各单位横向经费如何管理？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项目承担单位以市场委托方式取得的横向经费，按照委托方要求或合同约定管理使用，纳入单位财务统一管理。横向经费管理，既要防止“纵向化”，避免“纵横不分”；又要防止“账外账”，确保规范、安全、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十三、为适应教学科研活动规律，《意见》在完善差旅会议管理方面提出了哪些改进措施？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相关制度规定，中央级非参公管理事业单位参照中央和国家机关差旅费管理办法执行，中央事业单位参照会议费管理办法执行，同时要求相关单位结合本单位实际情况制定具体操作规定。但实际操作中，一些单位存在没有制定具体操作规定，变“参照”为“依照”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针对上述情况，《意见》遵循教学科研活动规律，完善中央高校、科研院所差旅会议管理。中央高校、科研院所根据教学、科研和管理工作实际需要，按照实事求是、精简高效、厉行节约的原则，自行制定具体管理规定。一是差旅费方面, 合理确定教学科研人员乘坐交通工具等级和住宿费标准；对于难以取得住宿费发票的，中央高校、科研院所在确保真实性的前提下，据实报销城市间交通费，并按规定标准发放伙食补助费和市内交通费，解决无法取得发票但需要报销城市间交通费和住宿费等问题。二是会议费方面，业务性会议（如学术会议、研讨会、评审会、座谈会、答辩会等）的次数、天数、人数以及会议费开支范围、标准等，由单位自主确定。因工作需要，邀请国内外专家、学者和有关人员参加会议，对确需负担的城市间交通费、国际旅费，可在会议费等费用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十四、会议地点可以由单位自主确定吗？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按照中共中央、国务院印发的《党政机关厉行节约反对浪费条例》等规定，会议召开场所实行政府采购定点管理。未纳入定点范围，价格低于会议综合定额标准的单位内部会议室、礼堂、宾馆、招待所、培训中心，可优先作为本单位或本系统会议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十五、科研项目经费是否使用公务卡结算？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推行科研项目经费使用公务卡结算，是规范科研活动支付业务、减少现金结算、强化资金安全、增强透明度、提高资金使用效益的重要举措。科研项目经费应按照《财政部科技部关于中央财政科研项目使用公务卡结算的通知》（财库〔2015〕245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十六、是否仍按现行采购方式购买机票？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《意见》出台后，仍要根据《财政部 外交部关于印发〈因公临时出国经费管理办法〉的通知》（财行〔2013〕516号）、《财政部 中国民用航空局关于加强公务机票购买管理有关事项的通知》（财库〔2014〕33号）、《财政部 中国民用航空局关于加强公务机票购买管理有关事项的补充通知》（财库〔2014〕180号）及政府采购相关制度规定，国内出差、因公临时出国购买机票时，应按上述规定执行。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十七、如何改进政府采购管理？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意见》完善了中央高校、科研院所科研仪器设备采购管理。中央高校、科研院所可自行采购科研仪器设备，自行选择仪器设备评审专家，同时要切实做好设备采购的监督管理。财政部要简化政府采购项目预算调剂和变更政府采购方式审批流程。对进口仪器设备实行备案制管理，并继续落实进口科研教学用品免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十八、《意见》出台了一系列简政放权的措施，为确保项目承担单位“接得住，管得好”，《意见》提出了哪些加强科研项目资金监督管理的措施？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意见》在完善政策、释放活力的同时，强调要依法理财、规范管理。一方面，强化项目承担单位的法人责任，规范资金管理。项目承担单位要认真落实国家有关政策规定，按照权责一致的要求，强化自我约束和自我规范，制定内部管理办法，落实项目预算调剂、间接费用统筹使用、劳务费分配管理、结余资金使用等管理权限。同时要加强预算审核把关，规范财务支出行为，完善内部风险防控机制，强化资金使用绩效评价；实行内部公开制度，主动公开项目预算、预算调剂、资金使用（重点是间接费用、外拨资金、结余资金使用）、研究成果等情况。另一方面，加强工作督查指导。财政部、科技部将适时组织开展对项目承担单位科研项目资金管理自主权限落实、内部管理办法制定、创新服务方式、内控机制建设、相关事项内部公开等情况的督查，对督查情况以适当方式进行通报，并将督查结果纳入信用管理，与间接费用核定、结余资金留用等挂钩。审计机关将依法开展对政策措施落实情况和财政资金的审计监督。项目主管部门要督促指导所属单位完善内部管理，确保国家政策规定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十九、针对当前单位和科研人员反映的检查评审过多问题，《意见》有哪些改进措施？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当前，各部门按照自身管理职责，分别组织科研项目和资金的监督检查，对规范科研经费使用起到了积极作用，但也出现了检查过多过频、检查结果共享不够等现象，不利于科研工作的高效有序推进。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针对上述问题，《意见》提出了精简检查评审的政策措施。一是要求科技部、项目主管部门、财政部要加强对科研项目资金监督的制度规范、年度计划、结果运用等的统筹协调，建立职责明确、分工负责的协同工作机制。二是要求科技部、项目主管部门加快清理规范委托中介机构对科研项目开展的各种检查评审，加强对前期已经开展相关检查结果的使用，推进检查结果共享，减少检查数量，改进检查方式，避免重复检查、多头检查、过度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二十、针对科研人员反映的报销手续繁、程序多、时间长、难度大等问题，《意见》提出了哪些解决措施？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报销环节反映的问题，是科研经费在执行、验收、审计等多环节问题的综合反映，涉及单位内部管理规定、出国出差开会管理制度、财务助理制度建立情况、科研人员对政策的熟悉程度等等。规范报销环节管理有利于加强内控、防范风险、反腐倡廉；但同时，高校、院所也应当改进管理，主动服务，寓管理于服务之中，切实减轻科研人员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此，《意见》提出：一是项目承担单位要建立健全科研财务助理制度，“让专业的人做专业的事”，把科研人员从繁琐的事务中解放出来，着力破解一些科研人员反映的“把科研人员逼成会计”的问题。二是项目承担单位要充分运用信息化手段，提高科研管理效率和便利化程度。三是项目承担单位要制定符合科研实际需要的内部报销规定，切实解决野外考察、心理测试等科研活动中无法取得发票或财政性票据，以及邀请外国专家来华参加学术交流发生费用等的报销问题，更好地服务于科研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二十一、为什么设立科研财务助理？所需经费如何解决？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解决科研人员反映的科研经费报销手续繁杂、程序较多、时间过长、“把科研人员逼成会计”等问题，《意见》要求项目承担单位建立健全科研财务助理制度，为科研人员在项目预算编制和调剂、经费支出、财务决算和验收等方面提供专业化服务，“让专业的人做专业的事”，把科研人员从繁琐的事务中解放出来。聘请科研财务助理所需费用可由单位根据情况通过科研项目资金等渠道解决。对于项目层面聘用的财务助理，所需费用可通过劳务费安排解决；对于单位统一聘用的财务助理，所需费用可通过科研项目间接费用、单位日常运转经费等渠道安排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二十二、在研项目能否执行新的规定？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做好政策衔接，对于国家科技计划（专项、基金等）在研项目适用新政策的问题，区分以下两种情况：一是文件发布时，项目执行期已结束、进入结题验收环节的项目，按照原政策执行，不作调整。二是尚在执行期内的项目，由项目承担单位统筹考虑本单位实际情况，并与科研人员充分协商后,在项目预算总额不变的前提下，自主选择在研项目间接费用和绩效支出安排、预算科目调剂等是否执行有关新规定。如执行新规定，需履行单位内部有关调整审批程序，并符合预算调剂的有关规定。特别是对于原未设立间接费用的在研项目,如要新增间接费用,承担单位要在逐一征求项目负责人意见的基础上,按照有关管理规定将项目资金分解为直接费用和间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二十三、为做好《意见》的落实，相关部门还将出台哪些相关的管理办法？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为确保政策措施落地见效，相关部门将出台三个方面的管理办法。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一是财政部正在会同相关部门抓紧制（修）订中央财政科技计划（专项、基金等）资金相关管理办法，将于2016年年底前出台。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二是项目主管部门将于2016年年底前出台实施细则，为预算编制、评审、财务验收等提供操作规范，防止政策在执行中走样变形。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三是为发挥政策协同效应，财政部、中央级社科类科研项目主管部门将加快修订国家社科基金项目资金、高等学校哲学社会科学繁荣计划等中央级社科类科研项目资金管理办法，做到2016年新立项项目按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二十四、高校、科研院所需要制定哪些相关的管理办法？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中央高校、科研院所要在9月1日前，出台差旅费、会议费内部管理办法，其主管部门要加强工作指导和统筹。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项目承担单位要在2016年年底前完成以下相关制度规定的制（修）订工作，其中重点包括：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一是制（修）订科研项目资金内部管理办法，对科研项目预算调剂、科研项目间接费用管理、科研项目劳务费使用和发放、科研项目结余资金管理等做出细化规定，其中要专门就项目预算、预算调剂、资金使用（重点是间接费用、外拨资金、结余资金使用）、研究成果等的内部公开程序、方式等进行规定；二是制定完善内部报销管理规定，解决野外考察、心理测试等科研活动中无法取得发票或财政性票据，以及邀请外国专家来华参加学术交流发生费用等的报销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shd w:val="clear" w:fill="FFFFFF"/>
        </w:rPr>
        <w:t>二十五、地方如何推进科研项目资金管理改革等工作？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各地区要参照《意见》精神，结合实际，加快推进科研项目资金管理改革等各项工作，同时在改革的具体工作中，要注意协同推进科技计划（专项、基金等）与科研项目资金管理改革，形成上下联动、全国一盘棋的工作局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6C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2016-10-31T00:44:24Z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